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4fc60cd28efb439f" /></Relationships>
</file>

<file path=word/document.xml><?xml version="1.0" encoding="utf-8"?>
<w:document xmlns:w="http://schemas.openxmlformats.org/wordprocessingml/2006/main">
  <w:body>
    <w:tbl>
      <w:tblPr>
        <w:tblW w:w="9000" w:type="dxa"/>
        <w:tblBorders>
          <w:top w:val="nil"/>
          <w:bottom w:val="nil"/>
          <w:left w:val="nil"/>
          <w:right w:val="nil"/>
          <w:insideH w:val="nil"/>
          <w:insideV w:val="nil"/>
        </w:tblBorders>
        <w:tblCellSpacing w:w="60" w:type="dxa"/>
        <w:shd w:val="clear" w:color="auto" w:fill="E7F0F9"/>
      </w:tblPr>
      <w:tblGrid>
        <w:gridCol w:w="1200"/>
        <w:gridCol w:w="4500"/>
      </w:tblGrid>
      <w:tr>
        <w:tc>
          <w:tcPr>
            <w:tcW w:w="1200" w:type="pct"/>
            <w:shd w:val="clear" w:color="auto" w:fill="E7F0F9"/>
          </w:tcPr>
          <w:p>
            <w:pPr>
              <w:spacing w:before="0" w:after="0" w:line="240" w:lineRule="auto"/>
              <w:jc w:val="left"/>
            </w:pPr>
            <w:r>
              <w:rPr>
                <w:b/>
              </w:rPr>
              <w:t xml:space="preserve">RKP broj</w:t>
            </w:r>
          </w:p>
        </w:tc>
        <w:tc>
          <w:tcPr>
            <w:shd w:val="clear" w:color="auto" w:fill="E7F0F9"/>
          </w:tcPr>
          <w:p>
            <w:pPr>
              <w:spacing w:before="0" w:after="0" w:line="240" w:lineRule="auto"/>
              <w:jc w:val="left"/>
            </w:pPr>
            <w:r>
              <w:t xml:space="preserve">10477</w:t>
            </w:r>
          </w:p>
        </w:tc>
      </w:tr>
      <w:tr>
        <w:tc>
          <w:tcPr>
            <w:tcW w:w="1200" w:type="pct"/>
            <w:shd w:val="clear" w:color="auto" w:fill="E7F0F9"/>
          </w:tcPr>
          <w:p>
            <w:pPr>
              <w:spacing w:before="0" w:after="0" w:line="240" w:lineRule="auto"/>
              <w:jc w:val="left"/>
            </w:pPr>
            <w:r>
              <w:rPr>
                <w:b/>
              </w:rPr>
              <w:t xml:space="preserve">Naziv obveznika</w:t>
            </w:r>
          </w:p>
        </w:tc>
        <w:tc>
          <w:tcPr>
            <w:shd w:val="clear" w:color="auto" w:fill="E7F0F9"/>
          </w:tcPr>
          <w:p>
            <w:pPr>
              <w:spacing w:before="0" w:after="0" w:line="240" w:lineRule="auto"/>
              <w:jc w:val="left"/>
            </w:pPr>
            <w:r>
              <w:t xml:space="preserve">Osnovna škola Petar Zrinski Čabar</w:t>
            </w:r>
          </w:p>
        </w:tc>
      </w:tr>
      <w:tr>
        <w:tc>
          <w:tcPr>
            <w:tcW w:w="1200" w:type="pct"/>
            <w:shd w:val="clear" w:color="auto" w:fill="E7F0F9"/>
          </w:tcPr>
          <w:p>
            <w:pPr>
              <w:spacing w:before="0" w:after="0" w:line="240" w:lineRule="auto"/>
              <w:jc w:val="left"/>
            </w:pPr>
            <w:r>
              <w:rPr>
                <w:b/>
              </w:rPr>
              <w:t xml:space="preserve">Razina</w:t>
            </w:r>
          </w:p>
        </w:tc>
        <w:tc>
          <w:tcPr>
            <w:shd w:val="clear" w:color="auto" w:fill="E7F0F9"/>
          </w:tcPr>
          <w:p>
            <w:pPr>
              <w:spacing w:before="0" w:after="0" w:line="240" w:lineRule="auto"/>
              <w:jc w:val="left"/>
            </w:pPr>
            <w:r>
              <w:t xml:space="preserve">31</w:t>
            </w:r>
          </w:p>
        </w:tc>
      </w:tr>
    </w:tbl>
    <w:p>
      <w:r>
        <w:br/>
      </w:r>
    </w:p>
    <w:p>
      <w:pPr>
        <w:jc w:val="center"/>
        <w:pStyle w:val="Normal"/>
        <w:spacing w:line="240" w:lineRule="auto"/>
      </w:pPr>
      <w:r>
        <w:rPr>
          <w:b/>
          <w:sz w:val="28"/>
          <w:rFonts w:ascii="Times New Roman" w:hAnsi="Times New Roman"/>
        </w:rPr>
        <w:t xml:space="preserve">BILJEŠKE UZ FINANCIJSKE IZVJEŠTAJE</w:t>
      </w:r>
    </w:p>
    <w:p>
      <w:pPr>
        <w:jc w:val="center"/>
        <w:pStyle w:val="Normal"/>
        <w:spacing w:line="240" w:lineRule="auto"/>
      </w:pPr>
      <w:r>
        <w:rPr>
          <w:b/>
          <w:sz w:val="28"/>
          <w:rFonts w:ascii="Times New Roman" w:hAnsi="Times New Roman"/>
        </w:rPr>
        <w:t xml:space="preserve">ZA RAZDOBLJE</w:t>
      </w:r>
    </w:p>
    <w:p>
      <w:pPr>
        <w:jc w:val="center"/>
        <w:pStyle w:val="Normal"/>
        <w:spacing w:line="240" w:lineRule="auto"/>
      </w:pPr>
      <w:r>
        <w:rPr>
          <w:b/>
          <w:sz w:val="28"/>
          <w:rFonts w:ascii="Times New Roman" w:hAnsi="Times New Roman"/>
        </w:rPr>
        <w:t xml:space="preserve">I - IX 2026.</w:t>
      </w:r>
    </w:p>
    <w:p/>
    <w:p>
      <w:pPr>
        <w:jc w:val="center"/>
        <w:pStyle w:val="Normal"/>
        <w:spacing w:line="240" w:lineRule="auto"/>
        <w:keepNext/>
      </w:pPr>
      <w:r>
        <w:rPr>
          <w:b/>
          <w:sz w:val="28"/>
          <w:rFonts w:ascii="Times New Roman" w:hAnsi="Times New Roman"/>
        </w:rPr>
        <w:t xml:space="preserve">Izvještaj o prihodima i rashodima, primicima i izdacima</w:t>
      </w:r>
    </w:p>
    <w:p>
      <w:pPr>
        <w:jc w:val="center"/>
        <w:pStyle w:val="Normal"/>
        <w:spacing w:line="240" w:lineRule="auto"/>
        <w:keepNext/>
      </w:pPr>
      <w:r>
        <w:rPr>
          <w:sz w:val="28"/>
          <w:rFonts w:ascii="Times New Roman" w:hAnsi="Times New Roman"/>
        </w:rPr>
        <w:t xml:space="preserve">Bilješka 1.</w:t>
      </w:r>
    </w:p>
    <w:tbl>
      <w:tblPr>
        <w:tblBorders>
          <w:top w:val="single" w:color="BABABA" w:sz="12"/>
          <w:bottom w:val="single" w:color="BABABA" w:sz="12"/>
          <w:left w:val="single" w:color="BABABA" w:sz="12"/>
          <w:right w:val="single" w:color="BABABA" w:sz="12"/>
          <w:insideH w:val="single" w:color="BABABA" w:sz="8"/>
          <w:insideV w:val="single" w:color="DADADA" w:sz="8"/>
        </w:tblBorders>
        <w:tblW w:w="0" w:type="auto"/>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1.867.679,96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1.926.622,13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103,2</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1.811.877,62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1.885.007,12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104,0</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POSLOVANJA (šifre 6-Z005)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55.802,34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41.615,01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74,6</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343,00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3.446,00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1004,7</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46.531,17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2.045,03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4,4</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OD NEFINANCIJSKE IMOVINE (šifre 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1.400,97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financijsku imovinu i otplate zajmova (šifre 51+52+53+54+55)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VIŠAK/MANJAK PRIMITAKA OD FINANCIJSKE IMOVINE I ZADUŽIVANJA (šifre 8-5, 5-8)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X003, Y003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I PRIMITAKA (šifre X678-Y345)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9.614,17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43.015,98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447,4</w:t>
            </w:r>
          </w:p>
        </w:tc>
      </w:tr>
    </w:tbl>
    <w:p>
      <w:pPr>
        <w:spacing w:before="0" w:after="0"/>
      </w:pPr>
    </w:p>
    <w:p>
      <w:r>
        <w:t xml:space="preserve">Ukupni prihodi u poslovanju od 01.siječnja 2026. do 30. rujna 2025. godine iznose 1.930.068,13 eura, te ukupni rashodi poslovanja od 01. siječnja 2026. do 30. rujna 2026. godine iznose 1.887.052,15 eura, što čini razliku odnosno višak prihoda poslovanja u iznosu od 42.778,03 eura što se odnosi na nenaplaćene račune koji će se proknjižiti i podmiriti u listopadu 2026. godine.</w:t>
      </w:r>
    </w:p>
    <w:p>
      <w:r>
        <w:br/>
      </w:r>
    </w:p>
    <w:p>
      <w:pPr>
        <w:jc w:val="center"/>
        <w:pStyle w:val="Normal"/>
        <w:spacing w:line="240" w:lineRule="auto"/>
        <w:keepNext/>
      </w:pPr>
      <w:r>
        <w:rPr>
          <w:sz w:val="28"/>
          <w:rFonts w:ascii="Times New Roman" w:hAnsi="Times New Roman"/>
        </w:rPr>
        <w:t xml:space="preserve">Bilješka 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1.867.679,96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1.926.622,13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103,2</w:t>
            </w:r>
          </w:p>
        </w:tc>
      </w:tr>
    </w:tbl>
    <w:p>
      <w:pPr>
        <w:spacing w:before="0" w:after="0"/>
      </w:pPr>
    </w:p>
    <w:p>
      <w:r>
        <w:t xml:space="preserve">Ukupni prihodi na šifri 6 u iznosu od 1.926.622,13 eura odnosi se na plaće djelatnika, prihode od kamata, prihode od Primorsko-goranske županije, prihode od grada Čabra te prihode od marende.</w:t>
      </w:r>
    </w:p>
    <w:p/>
    <w:p>
      <w:pPr>
        <w:jc w:val="center"/>
        <w:pStyle w:val="Normal"/>
        <w:spacing w:line="240" w:lineRule="auto"/>
        <w:keepNext/>
      </w:pPr>
      <w:r>
        <w:rPr>
          <w:sz w:val="28"/>
          <w:rFonts w:ascii="Times New Roman" w:hAnsi="Times New Roman"/>
        </w:rPr>
        <w:t xml:space="preserve">Bilješka 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iz inozemstva i od subjekata unutar općeg proračuna (šifre 631+632+633+634+635+636+637+638+639)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1.652.467,44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1.746.455,64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105,7</w:t>
            </w:r>
          </w:p>
        </w:tc>
      </w:tr>
    </w:tbl>
    <w:p>
      <w:pPr>
        <w:spacing w:before="0" w:after="0"/>
      </w:pPr>
    </w:p>
    <w:p>
      <w:r>
        <w:t xml:space="preserve">Prihodi u iznosu od 1.746.455,64 eura odnose se na plaće nadležnog ministarstva, te pomoć grada Čabra za održavanje školskih i izvanškolskih aktivnosti.</w:t>
      </w:r>
    </w:p>
    <w:p/>
    <w:p>
      <w:pPr>
        <w:jc w:val="center"/>
        <w:pStyle w:val="Normal"/>
        <w:spacing w:line="240" w:lineRule="auto"/>
        <w:keepNext/>
      </w:pPr>
      <w:r>
        <w:rPr>
          <w:sz w:val="28"/>
          <w:rFonts w:ascii="Times New Roman" w:hAnsi="Times New Roman"/>
        </w:rPr>
        <w:t xml:space="preserve">Bilješka 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imovine (šifre 641+642+643)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9,04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0,67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7,4</w:t>
            </w:r>
          </w:p>
        </w:tc>
      </w:tr>
    </w:tbl>
    <w:p>
      <w:pPr>
        <w:spacing w:before="0" w:after="0"/>
      </w:pPr>
    </w:p>
    <w:p>
      <w:r>
        <w:t xml:space="preserve">Prihodi u iznosu od 0,67 odnose se na prihode od kamata.</w:t>
      </w:r>
    </w:p>
    <w:p/>
    <w:p>
      <w:pPr>
        <w:jc w:val="center"/>
        <w:pStyle w:val="Normal"/>
        <w:spacing w:line="240" w:lineRule="auto"/>
        <w:keepNext/>
      </w:pPr>
      <w:r>
        <w:rPr>
          <w:sz w:val="28"/>
          <w:rFonts w:ascii="Times New Roman" w:hAnsi="Times New Roman"/>
        </w:rPr>
        <w:t xml:space="preserve">Bilješka 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upravnih i administrativnih pristojbi, pristojbi po posebnim propisima i naknada (šifre 651+652+653+654)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24.671,58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17.963,37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72,8</w:t>
            </w:r>
          </w:p>
        </w:tc>
      </w:tr>
    </w:tbl>
    <w:p>
      <w:pPr>
        <w:spacing w:before="0" w:after="0"/>
      </w:pPr>
    </w:p>
    <w:p>
      <w:r>
        <w:t xml:space="preserve">Prihodi u iznosu od 17.963,37 eura odnose se na prihode od marende, pomoć grada Delnice za školske i izvanškolske aktivnosti.</w:t>
      </w:r>
    </w:p>
    <w:p/>
    <w:p>
      <w:pPr>
        <w:jc w:val="center"/>
        <w:pStyle w:val="Normal"/>
        <w:spacing w:line="240" w:lineRule="auto"/>
        <w:keepNext/>
      </w:pPr>
      <w:r>
        <w:rPr>
          <w:sz w:val="28"/>
          <w:rFonts w:ascii="Times New Roman" w:hAnsi="Times New Roman"/>
        </w:rPr>
        <w:t xml:space="preserve">Bilješka 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iz nadležnog proračuna i od HZZO-a na temelju ugovornih obveza (šifre 671+673)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185.949,17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154.867,51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83,3</w:t>
            </w:r>
          </w:p>
        </w:tc>
      </w:tr>
    </w:tbl>
    <w:p>
      <w:pPr>
        <w:spacing w:before="0" w:after="0"/>
      </w:pPr>
    </w:p>
    <w:p>
      <w:r>
        <w:t xml:space="preserve">Prihodi u iznosu od 154.867,51 eura odnosi se na prihode Primorsko-goranske županije za materijalne rashode te povrata od HZZO-a.</w:t>
      </w:r>
    </w:p>
    <w:p/>
    <w:p>
      <w:pPr>
        <w:jc w:val="center"/>
        <w:pStyle w:val="Normal"/>
        <w:spacing w:line="240" w:lineRule="auto"/>
        <w:keepNext/>
      </w:pPr>
      <w:r>
        <w:rPr>
          <w:sz w:val="28"/>
          <w:rFonts w:ascii="Times New Roman" w:hAnsi="Times New Roman"/>
        </w:rPr>
        <w:t xml:space="preserve">Bilješka 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1.811.877,62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1.885.007,12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104,0</w:t>
            </w:r>
          </w:p>
        </w:tc>
      </w:tr>
    </w:tbl>
    <w:p>
      <w:pPr>
        <w:spacing w:before="0" w:after="0"/>
      </w:pPr>
    </w:p>
    <w:p>
      <w:r>
        <w:t xml:space="preserve">Šifra 3 u ukupnom iznosu od 1.885.007,12 eura odnosi se na rashode za zaposlene te materijalne rashode.</w:t>
      </w:r>
    </w:p>
    <w:p/>
    <w:p>
      <w:pPr>
        <w:jc w:val="center"/>
        <w:pStyle w:val="Normal"/>
        <w:spacing w:line="240" w:lineRule="auto"/>
        <w:keepNext/>
      </w:pPr>
      <w:r>
        <w:rPr>
          <w:sz w:val="28"/>
          <w:rFonts w:ascii="Times New Roman" w:hAnsi="Times New Roman"/>
        </w:rPr>
        <w:t xml:space="preserve">Bilješka 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zaposlene (šifre 311+312+313)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1.562.097,25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1.627.205,02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104,2</w:t>
            </w:r>
          </w:p>
        </w:tc>
      </w:tr>
    </w:tbl>
    <w:p>
      <w:pPr>
        <w:spacing w:before="0" w:after="0"/>
      </w:pPr>
    </w:p>
    <w:p>
      <w:r>
        <w:t xml:space="preserve">Šifra 31 u iznosu od 1.627.205,02 eura odnosi se na bruto plaće za redovan rad djelatnika te ostali rashodi za zaposlene.</w:t>
      </w:r>
    </w:p>
    <w:p/>
    <w:p>
      <w:pPr>
        <w:jc w:val="center"/>
        <w:pStyle w:val="Normal"/>
        <w:spacing w:line="240" w:lineRule="auto"/>
        <w:keepNext/>
      </w:pPr>
      <w:r>
        <w:rPr>
          <w:sz w:val="28"/>
          <w:rFonts w:ascii="Times New Roman" w:hAnsi="Times New Roman"/>
        </w:rPr>
        <w:t xml:space="preserve">Bilješka 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troškova zaposlenima (šifre 3211 do 3214)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50.781,84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67.494,82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132,9</w:t>
            </w:r>
          </w:p>
        </w:tc>
      </w:tr>
    </w:tbl>
    <w:p>
      <w:pPr>
        <w:spacing w:before="0" w:after="0"/>
      </w:pPr>
    </w:p>
    <w:p>
      <w:r>
        <w:t xml:space="preserve">Šifra 321 u iznosu od 67.494,82 eura odnose se na naknade troškova zaposlenih (prijevoz).</w:t>
      </w:r>
    </w:p>
    <w:p/>
    <w:p>
      <w:pPr>
        <w:jc w:val="center"/>
        <w:pStyle w:val="Normal"/>
        <w:spacing w:line="240" w:lineRule="auto"/>
        <w:keepNext/>
      </w:pPr>
      <w:r>
        <w:rPr>
          <w:sz w:val="28"/>
          <w:rFonts w:ascii="Times New Roman" w:hAnsi="Times New Roman"/>
        </w:rPr>
        <w:t xml:space="preserve">Bilješka 10.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materijal i energiju (šifre 3221 do 3227)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144.374,18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137.979,78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95,6</w:t>
            </w:r>
          </w:p>
        </w:tc>
      </w:tr>
    </w:tbl>
    <w:p>
      <w:pPr>
        <w:spacing w:before="0" w:after="0"/>
      </w:pPr>
    </w:p>
    <w:p>
      <w:r>
        <w:t xml:space="preserve">Šifra 322 u iznosu od 137.979,78 eura odnose se na rashode za materijal i energiju, uredski materijal, materijal i sirovine.</w:t>
      </w:r>
    </w:p>
    <w:p/>
    <w:p>
      <w:pPr>
        <w:jc w:val="center"/>
        <w:pStyle w:val="Normal"/>
        <w:spacing w:line="240" w:lineRule="auto"/>
        <w:keepNext/>
      </w:pPr>
      <w:r>
        <w:rPr>
          <w:sz w:val="28"/>
          <w:rFonts w:ascii="Times New Roman" w:hAnsi="Times New Roman"/>
        </w:rPr>
        <w:t xml:space="preserve">Bilješka 11.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usluge (šifre 3231 do 3239)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46.937,99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42.597,92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90,8</w:t>
            </w:r>
          </w:p>
        </w:tc>
      </w:tr>
    </w:tbl>
    <w:p>
      <w:pPr>
        <w:spacing w:before="0" w:after="0"/>
      </w:pPr>
    </w:p>
    <w:p>
      <w:r>
        <w:t xml:space="preserve">Šifra 323 u iznosu od 42.597,92 eura odnose se na usluge telefona, tekuće održavanje, komunalne usluge, zdravstvene usluge, računalne usluge itd.</w:t>
      </w:r>
    </w:p>
    <w:p/>
    <w:p>
      <w:pPr>
        <w:jc w:val="center"/>
        <w:pStyle w:val="Normal"/>
        <w:spacing w:line="240" w:lineRule="auto"/>
        <w:keepNext/>
      </w:pPr>
      <w:r>
        <w:rPr>
          <w:sz w:val="28"/>
          <w:rFonts w:ascii="Times New Roman" w:hAnsi="Times New Roman"/>
        </w:rPr>
        <w:t xml:space="preserve">Bilješka 12.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nespomenuti rashodi poslovanja (šifre 3291 do 3299)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7.590,95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9.177,76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120,9</w:t>
            </w:r>
          </w:p>
        </w:tc>
      </w:tr>
    </w:tbl>
    <w:p>
      <w:pPr>
        <w:spacing w:before="0" w:after="0"/>
      </w:pPr>
    </w:p>
    <w:p>
      <w:r>
        <w:t xml:space="preserve">Šifra 329 u iznosu od 9.177,76 eura odnose se na pristojbe i naknade, članarine i ostale rashode.</w:t>
      </w:r>
    </w:p>
    <w:p/>
    <w:p>
      <w:pPr>
        <w:jc w:val="center"/>
        <w:pStyle w:val="Normal"/>
        <w:spacing w:line="240" w:lineRule="auto"/>
        <w:keepNext/>
      </w:pPr>
      <w:r>
        <w:rPr>
          <w:sz w:val="28"/>
          <w:rFonts w:ascii="Times New Roman" w:hAnsi="Times New Roman"/>
        </w:rPr>
        <w:t xml:space="preserve">Bilješka 13.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financijski rashodi (šifre 3431 do 3434)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95,41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62,31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65,3</w:t>
            </w:r>
          </w:p>
        </w:tc>
      </w:tr>
    </w:tbl>
    <w:p>
      <w:pPr>
        <w:spacing w:before="0" w:after="0"/>
      </w:pPr>
    </w:p>
    <w:p>
      <w:r>
        <w:t xml:space="preserve">Šifra 343 u iznosu od 62,31 eura odnosi se na bankarske usluge i usluge platnog prometa te na zatvaranje računa škole.</w:t>
      </w:r>
    </w:p>
    <w:p/>
    <w:p>
      <w:pPr>
        <w:jc w:val="center"/>
        <w:pStyle w:val="Normal"/>
        <w:spacing w:line="240" w:lineRule="auto"/>
        <w:keepNext/>
      </w:pPr>
      <w:r>
        <w:rPr>
          <w:sz w:val="28"/>
          <w:rFonts w:ascii="Times New Roman" w:hAnsi="Times New Roman"/>
        </w:rPr>
        <w:t xml:space="preserve">Bilješka 14.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proizvedene dugotrajne imovine (šifre 721+722+723+724+725+726)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343,00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3.446,00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1004,7</w:t>
            </w:r>
          </w:p>
        </w:tc>
      </w:tr>
    </w:tbl>
    <w:p>
      <w:pPr>
        <w:spacing w:before="0" w:after="0"/>
      </w:pPr>
    </w:p>
    <w:p>
      <w:r>
        <w:t xml:space="preserve">Šifra 72 u iznosu od 3.446,00 eura odnosi se na prihode od prodaje proizvedene dugotrajne imovine.</w:t>
      </w:r>
    </w:p>
    <w:p/>
    <w:p>
      <w:pPr>
        <w:jc w:val="center"/>
        <w:pStyle w:val="Normal"/>
        <w:spacing w:line="240" w:lineRule="auto"/>
        <w:keepNext/>
      </w:pPr>
      <w:r>
        <w:rPr>
          <w:sz w:val="28"/>
          <w:rFonts w:ascii="Times New Roman" w:hAnsi="Times New Roman"/>
        </w:rPr>
        <w:t xml:space="preserve">Bilješka 15.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proizvedene dugotrajne imovine (šifre 421+422+423+424+425+426)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46.531,17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2.045,03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4,4</w:t>
            </w:r>
          </w:p>
        </w:tc>
      </w:tr>
    </w:tbl>
    <w:p>
      <w:pPr>
        <w:spacing w:before="0" w:after="0"/>
      </w:pPr>
    </w:p>
    <w:p>
      <w:r>
        <w:t xml:space="preserve">Šifra 42 u iznosu od 2.045,03 eura odnosi se na nabavu dugotrajne imovine</w:t>
      </w:r>
    </w:p>
    <w:p/>
    <w:p>
      <w:pPr>
        <w:jc w:val="center"/>
        <w:pStyle w:val="Normal"/>
        <w:spacing w:line="240" w:lineRule="auto"/>
        <w:keepNext/>
      </w:pPr>
      <w:r>
        <w:rPr>
          <w:sz w:val="28"/>
          <w:rFonts w:ascii="Times New Roman" w:hAnsi="Times New Roman"/>
        </w:rPr>
        <w:t xml:space="preserve">Bilješka 16.</w:t>
      </w:r>
    </w:p>
    <w:p>
      <w:pPr>
        <w:jc w:val="both"/>
        <w:pStyle w:val="Normal"/>
        <w:spacing w:line="240" w:lineRule="auto"/>
      </w:pPr>
      <w:r>
        <w:rPr>
          <w:b/>
          <w:sz w:val="24"/>
          <w:rFonts w:ascii="Times New Roman" w:hAnsi="Times New Roman"/>
        </w:rPr>
        <w:t xml:space="preserve">EU izvještaj</w:t>
      </w:r>
    </w:p>
    <w:p>
      <w:r>
        <w:t xml:space="preserve">Ukupni prihodi u poslovanju u sklopu Europskog projekta Interreg od 01.siječnja 2026. do 30. rujna 2026. godine iznose 8.267,20 eura, te ukupni rashodi poslovanja od 01. siječnja 2026. do 30. rujna 2026. godine iznose 6.566,77 eura, što čini razliku odnosno višak prihoda poslovanja u iznosu od 1.700,43 eura što se odnosi na račune projekta koji još nisu stigli te će se proknjižiti i podmiriti do kraja 2026. godine.</w:t>
      </w:r>
    </w:p>
    <w:p/>
  </w:body>
</w:document>
</file>

<file path=word/styles.xml><?xml version="1.0" encoding="utf-8"?>
<w:styles xmlns:w="http://schemas.openxmlformats.org/wordprocessingml/2006/main">
  <w:docDefaults>
    <w:rPrDefault>
      <w:rPr>
        <w:rFonts w:ascii="Times New Roman" w:hAnsi="Times New Roman"/>
        <w:sz w:val="24"/>
      </w:rPr>
    </w:rPrDefault>
  </w:docDefaults>
  <w:style w:type="paragraph" w:styleId="Normal" w:default="true">
    <w:name w:val="Normal"/>
    <w:rPr>
      <w:rFonts w:ascii="Times New Roman" w:hAnsi="Times New Roman"/>
      <w:sz w:val="24"/>
    </w:rPr>
  </w:style>
</w:styles>
</file>

<file path=word/_rels/document.xml.rels>&#65279;<?xml version="1.0" encoding="utf-8"?><Relationships xmlns="http://schemas.openxmlformats.org/package/2006/relationships"><Relationship Type="http://schemas.openxmlformats.org/officeDocument/2006/relationships/styles" Target="/word/styles.xml" Id="R12793a0b2314467c" /></Relationships>
</file>